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BE88F4" w14:textId="172AB1AD" w:rsidR="3EEC074A" w:rsidRDefault="3EEC074A" w:rsidP="3EEC074A">
      <w:pPr>
        <w:pStyle w:val="Heading1"/>
      </w:pPr>
      <w:bookmarkStart w:id="0" w:name="_GoBack"/>
      <w:bookmarkEnd w:id="0"/>
      <w:r w:rsidRPr="3EEC074A">
        <w:rPr>
          <w:rFonts w:ascii="Calibri" w:eastAsia="Calibri" w:hAnsi="Calibri" w:cs="Calibri"/>
          <w:color w:val="000000" w:themeColor="text1"/>
          <w:sz w:val="66"/>
          <w:szCs w:val="66"/>
        </w:rPr>
        <w:t>Assessment 3 Instructions: Conflict and Power</w:t>
      </w:r>
    </w:p>
    <w:p w14:paraId="74F5A54B" w14:textId="588F208E" w:rsidR="3EEC074A" w:rsidRDefault="3EEC074A" w:rsidP="3EEC074A">
      <w:pPr>
        <w:pStyle w:val="ListParagraph"/>
        <w:numPr>
          <w:ilvl w:val="0"/>
          <w:numId w:val="1"/>
        </w:numPr>
        <w:rPr>
          <w:rFonts w:eastAsiaTheme="minorEastAsia"/>
          <w:color w:val="FFFFFF" w:themeColor="background1"/>
          <w:sz w:val="18"/>
          <w:szCs w:val="18"/>
        </w:rPr>
      </w:pPr>
      <w:r w:rsidRPr="3EEC074A">
        <w:rPr>
          <w:rFonts w:ascii="Calibri" w:eastAsia="Calibri" w:hAnsi="Calibri" w:cs="Calibri"/>
          <w:caps/>
          <w:color w:val="FFFFFF" w:themeColor="background1"/>
          <w:sz w:val="18"/>
          <w:szCs w:val="18"/>
        </w:rPr>
        <w:t>PRINT</w:t>
      </w:r>
    </w:p>
    <w:p w14:paraId="70005EE2" w14:textId="6049D060" w:rsidR="3EEC074A" w:rsidRDefault="3EEC074A" w:rsidP="3EEC074A">
      <w:pPr>
        <w:pStyle w:val="ListParagraph"/>
        <w:numPr>
          <w:ilvl w:val="0"/>
          <w:numId w:val="1"/>
        </w:numPr>
        <w:rPr>
          <w:rFonts w:eastAsiaTheme="minorEastAsia"/>
          <w:color w:val="222222"/>
          <w:sz w:val="25"/>
          <w:szCs w:val="25"/>
        </w:rPr>
      </w:pPr>
      <w:r w:rsidRPr="3EEC074A">
        <w:rPr>
          <w:rFonts w:ascii="Calibri" w:eastAsia="Calibri" w:hAnsi="Calibri" w:cs="Calibri"/>
          <w:color w:val="222222"/>
          <w:sz w:val="25"/>
          <w:szCs w:val="25"/>
        </w:rPr>
        <w:t>Write a 3-5 page blog post titled "Conflict and Power" that explains how individual perceptions of power can create conflict situations between law enforcement and members of a community. Use the relational theory of power to explain how perceptions affect the ability to resolve conflict. Then, identify a conflict resolution strategy and predict the outcome.</w:t>
      </w:r>
    </w:p>
    <w:p w14:paraId="7F60F772" w14:textId="094EA363" w:rsidR="3EEC074A" w:rsidRDefault="3EEC074A" w:rsidP="3EEC074A">
      <w:pPr>
        <w:pStyle w:val="Heading4"/>
      </w:pPr>
      <w:r w:rsidRPr="3EEC074A">
        <w:rPr>
          <w:rFonts w:ascii="Calibri" w:eastAsia="Calibri" w:hAnsi="Calibri" w:cs="Calibri"/>
          <w:color w:val="222222"/>
          <w:sz w:val="40"/>
          <w:szCs w:val="40"/>
        </w:rPr>
        <w:t>Introduction</w:t>
      </w:r>
    </w:p>
    <w:p w14:paraId="625943ED" w14:textId="1ECFF5F0" w:rsidR="3EEC074A" w:rsidRDefault="3EEC074A">
      <w:r w:rsidRPr="3EEC074A">
        <w:rPr>
          <w:rFonts w:ascii="Calibri" w:eastAsia="Calibri" w:hAnsi="Calibri" w:cs="Calibri"/>
          <w:color w:val="222222"/>
          <w:sz w:val="25"/>
          <w:szCs w:val="25"/>
        </w:rPr>
        <w:t>Power plays a role in most conflicts. According to Coleman, Deutsch, and Marcus (2014), power can be understood by looking at its relationship to a situation and how that power is used. It is important to consider the role that each person in a conflict situation plays and that person's place in the power hierarchy. Also, consider culture, as it can influence the way people react to power inequalities. Understanding these differences is key when trying to understand the dynamics of conflict and formulate strategies for conflict resolution.</w:t>
      </w:r>
    </w:p>
    <w:p w14:paraId="3D01ED52" w14:textId="537DAC8A" w:rsidR="3EEC074A" w:rsidRDefault="3EEC074A" w:rsidP="3EEC074A">
      <w:pPr>
        <w:pStyle w:val="Heading5"/>
      </w:pPr>
      <w:r w:rsidRPr="3EEC074A">
        <w:rPr>
          <w:rFonts w:ascii="Calibri" w:eastAsia="Calibri" w:hAnsi="Calibri" w:cs="Calibri"/>
          <w:color w:val="222222"/>
          <w:sz w:val="25"/>
          <w:szCs w:val="25"/>
        </w:rPr>
        <w:t>Reference</w:t>
      </w:r>
    </w:p>
    <w:p w14:paraId="0AAFA3D5" w14:textId="6988C348" w:rsidR="3EEC074A" w:rsidRDefault="3EEC074A" w:rsidP="3EEC074A">
      <w:pPr>
        <w:ind w:left="450" w:hanging="450"/>
      </w:pPr>
      <w:r w:rsidRPr="3EEC074A">
        <w:rPr>
          <w:rFonts w:ascii="Calibri" w:eastAsia="Calibri" w:hAnsi="Calibri" w:cs="Calibri"/>
          <w:color w:val="222222"/>
          <w:sz w:val="25"/>
          <w:szCs w:val="25"/>
        </w:rPr>
        <w:t xml:space="preserve">Coleman, P., Deutsch, M., &amp; Marcus, E. C. (Eds.). (2014). </w:t>
      </w:r>
      <w:proofErr w:type="gramStart"/>
      <w:r w:rsidRPr="3EEC074A">
        <w:rPr>
          <w:rFonts w:ascii="Calibri" w:eastAsia="Calibri" w:hAnsi="Calibri" w:cs="Calibri"/>
          <w:i/>
          <w:iCs/>
          <w:color w:val="222222"/>
          <w:sz w:val="25"/>
          <w:szCs w:val="25"/>
        </w:rPr>
        <w:t>The</w:t>
      </w:r>
      <w:proofErr w:type="gramEnd"/>
      <w:r w:rsidRPr="3EEC074A">
        <w:rPr>
          <w:rFonts w:ascii="Calibri" w:eastAsia="Calibri" w:hAnsi="Calibri" w:cs="Calibri"/>
          <w:i/>
          <w:iCs/>
          <w:color w:val="222222"/>
          <w:sz w:val="25"/>
          <w:szCs w:val="25"/>
        </w:rPr>
        <w:t xml:space="preserve"> handbook of conflict resolution: Theory and practice</w:t>
      </w:r>
      <w:r w:rsidRPr="3EEC074A">
        <w:rPr>
          <w:rFonts w:ascii="Calibri" w:eastAsia="Calibri" w:hAnsi="Calibri" w:cs="Calibri"/>
          <w:color w:val="222222"/>
          <w:sz w:val="25"/>
          <w:szCs w:val="25"/>
        </w:rPr>
        <w:t xml:space="preserve"> (3rd ed.). San Francisco, CA: </w:t>
      </w:r>
      <w:proofErr w:type="spellStart"/>
      <w:r w:rsidRPr="3EEC074A">
        <w:rPr>
          <w:rFonts w:ascii="Calibri" w:eastAsia="Calibri" w:hAnsi="Calibri" w:cs="Calibri"/>
          <w:color w:val="222222"/>
          <w:sz w:val="25"/>
          <w:szCs w:val="25"/>
        </w:rPr>
        <w:t>Jossey</w:t>
      </w:r>
      <w:proofErr w:type="spellEnd"/>
      <w:r w:rsidRPr="3EEC074A">
        <w:rPr>
          <w:rFonts w:ascii="Calibri" w:eastAsia="Calibri" w:hAnsi="Calibri" w:cs="Calibri"/>
          <w:color w:val="222222"/>
          <w:sz w:val="25"/>
          <w:szCs w:val="25"/>
        </w:rPr>
        <w:t>-Bass.</w:t>
      </w:r>
    </w:p>
    <w:p w14:paraId="71ADF6B5" w14:textId="64EA8FBC" w:rsidR="3EEC074A" w:rsidRDefault="3EEC074A" w:rsidP="3EEC074A">
      <w:pPr>
        <w:pStyle w:val="Heading4"/>
      </w:pPr>
      <w:r w:rsidRPr="3EEC074A">
        <w:rPr>
          <w:rFonts w:ascii="Calibri" w:eastAsia="Calibri" w:hAnsi="Calibri" w:cs="Calibri"/>
          <w:color w:val="222222"/>
          <w:sz w:val="40"/>
          <w:szCs w:val="40"/>
        </w:rPr>
        <w:t>Demonstration of Proficiency</w:t>
      </w:r>
    </w:p>
    <w:p w14:paraId="5FB3D5EB" w14:textId="2D604D40" w:rsidR="3EEC074A" w:rsidRDefault="3EEC074A">
      <w:r w:rsidRPr="3EEC074A">
        <w:rPr>
          <w:rFonts w:ascii="Calibri" w:eastAsia="Calibri" w:hAnsi="Calibri" w:cs="Calibri"/>
          <w:color w:val="222222"/>
          <w:sz w:val="25"/>
          <w:szCs w:val="25"/>
        </w:rPr>
        <w:t>By successfully completing this assessment, you will demonstrate your proficiency in the following course competencies and assessment criteria:</w:t>
      </w:r>
    </w:p>
    <w:p w14:paraId="722D77B0" w14:textId="4601991F" w:rsidR="3EEC074A" w:rsidRDefault="3EEC074A" w:rsidP="3EEC074A">
      <w:pPr>
        <w:pStyle w:val="ListParagraph"/>
        <w:numPr>
          <w:ilvl w:val="1"/>
          <w:numId w:val="1"/>
        </w:numPr>
        <w:rPr>
          <w:rFonts w:eastAsiaTheme="minorEastAsia"/>
          <w:color w:val="222222"/>
          <w:sz w:val="25"/>
          <w:szCs w:val="25"/>
        </w:rPr>
      </w:pPr>
      <w:r w:rsidRPr="3EEC074A">
        <w:rPr>
          <w:rFonts w:ascii="Calibri" w:eastAsia="Calibri" w:hAnsi="Calibri" w:cs="Calibri"/>
          <w:color w:val="222222"/>
          <w:sz w:val="25"/>
          <w:szCs w:val="25"/>
        </w:rPr>
        <w:t>Competency 1: Identify variables within an organizational structure that can promote conflict.</w:t>
      </w:r>
    </w:p>
    <w:p w14:paraId="46C7B56A" w14:textId="51471574" w:rsidR="3EEC074A" w:rsidRDefault="3EEC074A" w:rsidP="3EEC074A">
      <w:pPr>
        <w:pStyle w:val="ListParagraph"/>
        <w:numPr>
          <w:ilvl w:val="2"/>
          <w:numId w:val="1"/>
        </w:numPr>
        <w:rPr>
          <w:rFonts w:eastAsiaTheme="minorEastAsia"/>
          <w:color w:val="222222"/>
          <w:sz w:val="25"/>
          <w:szCs w:val="25"/>
        </w:rPr>
      </w:pPr>
      <w:r w:rsidRPr="3EEC074A">
        <w:rPr>
          <w:rFonts w:ascii="Calibri" w:eastAsia="Calibri" w:hAnsi="Calibri" w:cs="Calibri"/>
          <w:color w:val="222222"/>
          <w:sz w:val="25"/>
          <w:szCs w:val="25"/>
        </w:rPr>
        <w:t>Describe the factors that contribute to conflict between law enforcement and members of a community.</w:t>
      </w:r>
    </w:p>
    <w:p w14:paraId="4F8A8A91" w14:textId="749599C7" w:rsidR="3EEC074A" w:rsidRDefault="3EEC074A" w:rsidP="3EEC074A">
      <w:pPr>
        <w:pStyle w:val="ListParagraph"/>
        <w:numPr>
          <w:ilvl w:val="1"/>
          <w:numId w:val="1"/>
        </w:numPr>
        <w:rPr>
          <w:rFonts w:eastAsiaTheme="minorEastAsia"/>
          <w:color w:val="222222"/>
          <w:sz w:val="25"/>
          <w:szCs w:val="25"/>
        </w:rPr>
      </w:pPr>
      <w:r w:rsidRPr="3EEC074A">
        <w:rPr>
          <w:rFonts w:ascii="Calibri" w:eastAsia="Calibri" w:hAnsi="Calibri" w:cs="Calibri"/>
          <w:color w:val="222222"/>
          <w:sz w:val="25"/>
          <w:szCs w:val="25"/>
        </w:rPr>
        <w:t>Competency 2: Apply theoretical perspectives on conflict.</w:t>
      </w:r>
    </w:p>
    <w:p w14:paraId="3553C081" w14:textId="22BA760F" w:rsidR="3EEC074A" w:rsidRDefault="3EEC074A" w:rsidP="3EEC074A">
      <w:pPr>
        <w:pStyle w:val="ListParagraph"/>
        <w:numPr>
          <w:ilvl w:val="2"/>
          <w:numId w:val="1"/>
        </w:numPr>
        <w:rPr>
          <w:rFonts w:eastAsiaTheme="minorEastAsia"/>
          <w:color w:val="222222"/>
          <w:sz w:val="25"/>
          <w:szCs w:val="25"/>
        </w:rPr>
      </w:pPr>
      <w:r w:rsidRPr="3EEC074A">
        <w:rPr>
          <w:rFonts w:ascii="Calibri" w:eastAsia="Calibri" w:hAnsi="Calibri" w:cs="Calibri"/>
          <w:color w:val="222222"/>
          <w:sz w:val="25"/>
          <w:szCs w:val="25"/>
        </w:rPr>
        <w:t>Use the relational theory of power to explain how perceptions of power interfere with the ability to resolve conflict.</w:t>
      </w:r>
    </w:p>
    <w:p w14:paraId="1E3367CC" w14:textId="33E3A9CC" w:rsidR="3EEC074A" w:rsidRDefault="3EEC074A" w:rsidP="3EEC074A">
      <w:pPr>
        <w:pStyle w:val="ListParagraph"/>
        <w:numPr>
          <w:ilvl w:val="1"/>
          <w:numId w:val="1"/>
        </w:numPr>
        <w:rPr>
          <w:rFonts w:eastAsiaTheme="minorEastAsia"/>
          <w:color w:val="222222"/>
          <w:sz w:val="25"/>
          <w:szCs w:val="25"/>
        </w:rPr>
      </w:pPr>
      <w:r w:rsidRPr="3EEC074A">
        <w:rPr>
          <w:rFonts w:ascii="Calibri" w:eastAsia="Calibri" w:hAnsi="Calibri" w:cs="Calibri"/>
          <w:color w:val="222222"/>
          <w:sz w:val="25"/>
          <w:szCs w:val="25"/>
        </w:rPr>
        <w:t>Competency 3: Apply appropriate strategies to reduce or resolve conflicts.</w:t>
      </w:r>
    </w:p>
    <w:p w14:paraId="76A9D3FE" w14:textId="3E7EFE5E" w:rsidR="3EEC074A" w:rsidRDefault="3EEC074A" w:rsidP="3EEC074A">
      <w:pPr>
        <w:pStyle w:val="ListParagraph"/>
        <w:numPr>
          <w:ilvl w:val="2"/>
          <w:numId w:val="1"/>
        </w:numPr>
        <w:rPr>
          <w:rFonts w:eastAsiaTheme="minorEastAsia"/>
          <w:color w:val="222222"/>
          <w:sz w:val="25"/>
          <w:szCs w:val="25"/>
        </w:rPr>
      </w:pPr>
      <w:r w:rsidRPr="3EEC074A">
        <w:rPr>
          <w:rFonts w:ascii="Calibri" w:eastAsia="Calibri" w:hAnsi="Calibri" w:cs="Calibri"/>
          <w:color w:val="222222"/>
          <w:sz w:val="25"/>
          <w:szCs w:val="25"/>
        </w:rPr>
        <w:t>Identify conflict resolution strategies for law enforcement community conflicts.</w:t>
      </w:r>
    </w:p>
    <w:p w14:paraId="7E5A4050" w14:textId="4D613F82" w:rsidR="3EEC074A" w:rsidRDefault="3EEC074A" w:rsidP="3EEC074A">
      <w:pPr>
        <w:pStyle w:val="ListParagraph"/>
        <w:numPr>
          <w:ilvl w:val="1"/>
          <w:numId w:val="1"/>
        </w:numPr>
        <w:rPr>
          <w:rFonts w:eastAsiaTheme="minorEastAsia"/>
          <w:color w:val="222222"/>
          <w:sz w:val="25"/>
          <w:szCs w:val="25"/>
        </w:rPr>
      </w:pPr>
      <w:r w:rsidRPr="3EEC074A">
        <w:rPr>
          <w:rFonts w:ascii="Calibri" w:eastAsia="Calibri" w:hAnsi="Calibri" w:cs="Calibri"/>
          <w:color w:val="222222"/>
          <w:sz w:val="25"/>
          <w:szCs w:val="25"/>
        </w:rPr>
        <w:lastRenderedPageBreak/>
        <w:t>Competency 4: Analyze the impact of conflict on relationship building in face-to-face, virtual, cyber, and group communication.</w:t>
      </w:r>
    </w:p>
    <w:p w14:paraId="62B417E1" w14:textId="3FD3889A" w:rsidR="3EEC074A" w:rsidRDefault="3EEC074A" w:rsidP="3EEC074A">
      <w:pPr>
        <w:pStyle w:val="ListParagraph"/>
        <w:numPr>
          <w:ilvl w:val="2"/>
          <w:numId w:val="1"/>
        </w:numPr>
        <w:rPr>
          <w:rFonts w:eastAsiaTheme="minorEastAsia"/>
          <w:color w:val="222222"/>
          <w:sz w:val="25"/>
          <w:szCs w:val="25"/>
        </w:rPr>
      </w:pPr>
      <w:r w:rsidRPr="3EEC074A">
        <w:rPr>
          <w:rFonts w:ascii="Calibri" w:eastAsia="Calibri" w:hAnsi="Calibri" w:cs="Calibri"/>
          <w:color w:val="222222"/>
          <w:sz w:val="25"/>
          <w:szCs w:val="25"/>
        </w:rPr>
        <w:t>Explain how perceptions of power contribute to conflict situations.</w:t>
      </w:r>
    </w:p>
    <w:p w14:paraId="3BA4F63E" w14:textId="01F472E7" w:rsidR="3EEC074A" w:rsidRDefault="3EEC074A" w:rsidP="3EEC074A">
      <w:pPr>
        <w:pStyle w:val="ListParagraph"/>
        <w:numPr>
          <w:ilvl w:val="1"/>
          <w:numId w:val="1"/>
        </w:numPr>
        <w:rPr>
          <w:rFonts w:eastAsiaTheme="minorEastAsia"/>
          <w:color w:val="222222"/>
          <w:sz w:val="25"/>
          <w:szCs w:val="25"/>
        </w:rPr>
      </w:pPr>
      <w:r w:rsidRPr="3EEC074A">
        <w:rPr>
          <w:rFonts w:ascii="Calibri" w:eastAsia="Calibri" w:hAnsi="Calibri" w:cs="Calibri"/>
          <w:color w:val="222222"/>
          <w:sz w:val="25"/>
          <w:szCs w:val="25"/>
        </w:rPr>
        <w:t>Competency 5: Evaluate the outcome of proposed strategies of conflict resolution.</w:t>
      </w:r>
    </w:p>
    <w:p w14:paraId="7B6671F4" w14:textId="0C3E3C65" w:rsidR="3EEC074A" w:rsidRDefault="3EEC074A" w:rsidP="3EEC074A">
      <w:pPr>
        <w:pStyle w:val="ListParagraph"/>
        <w:numPr>
          <w:ilvl w:val="2"/>
          <w:numId w:val="1"/>
        </w:numPr>
        <w:rPr>
          <w:rFonts w:eastAsiaTheme="minorEastAsia"/>
          <w:color w:val="222222"/>
          <w:sz w:val="25"/>
          <w:szCs w:val="25"/>
        </w:rPr>
      </w:pPr>
      <w:r w:rsidRPr="3EEC074A">
        <w:rPr>
          <w:rFonts w:ascii="Calibri" w:eastAsia="Calibri" w:hAnsi="Calibri" w:cs="Calibri"/>
          <w:color w:val="222222"/>
          <w:sz w:val="25"/>
          <w:szCs w:val="25"/>
        </w:rPr>
        <w:t>Determine the outcome of a conflict resolution strategy.</w:t>
      </w:r>
    </w:p>
    <w:p w14:paraId="4D197DF5" w14:textId="3B06D36E" w:rsidR="3EEC074A" w:rsidRDefault="3EEC074A" w:rsidP="3EEC074A">
      <w:pPr>
        <w:pStyle w:val="ListParagraph"/>
        <w:numPr>
          <w:ilvl w:val="1"/>
          <w:numId w:val="1"/>
        </w:numPr>
        <w:rPr>
          <w:rFonts w:eastAsiaTheme="minorEastAsia"/>
          <w:color w:val="222222"/>
          <w:sz w:val="25"/>
          <w:szCs w:val="25"/>
        </w:rPr>
      </w:pPr>
      <w:r w:rsidRPr="3EEC074A">
        <w:rPr>
          <w:rFonts w:ascii="Calibri" w:eastAsia="Calibri" w:hAnsi="Calibri" w:cs="Calibri"/>
          <w:color w:val="222222"/>
          <w:sz w:val="25"/>
          <w:szCs w:val="25"/>
        </w:rPr>
        <w:t>Competency 6: Communicate effectively in a variety of formats.</w:t>
      </w:r>
    </w:p>
    <w:p w14:paraId="18E55B33" w14:textId="2E948A33" w:rsidR="3EEC074A" w:rsidRDefault="3EEC074A" w:rsidP="3EEC074A">
      <w:pPr>
        <w:pStyle w:val="ListParagraph"/>
        <w:numPr>
          <w:ilvl w:val="2"/>
          <w:numId w:val="1"/>
        </w:numPr>
        <w:rPr>
          <w:rFonts w:eastAsiaTheme="minorEastAsia"/>
          <w:color w:val="222222"/>
          <w:sz w:val="25"/>
          <w:szCs w:val="25"/>
        </w:rPr>
      </w:pPr>
      <w:r w:rsidRPr="3EEC074A">
        <w:rPr>
          <w:rFonts w:ascii="Calibri" w:eastAsia="Calibri" w:hAnsi="Calibri" w:cs="Calibri"/>
          <w:color w:val="222222"/>
          <w:sz w:val="25"/>
          <w:szCs w:val="25"/>
        </w:rPr>
        <w:t>Write coherently to support a central idea in appropriate APA format with correct grammar, usage, and mechanics.</w:t>
      </w:r>
    </w:p>
    <w:p w14:paraId="6BAA621A" w14:textId="21870068" w:rsidR="3EEC074A" w:rsidRDefault="3EEC074A" w:rsidP="3EEC074A">
      <w:pPr>
        <w:pStyle w:val="Heading4"/>
      </w:pPr>
      <w:r w:rsidRPr="3EEC074A">
        <w:rPr>
          <w:rFonts w:ascii="Calibri" w:eastAsia="Calibri" w:hAnsi="Calibri" w:cs="Calibri"/>
          <w:color w:val="222222"/>
          <w:sz w:val="40"/>
          <w:szCs w:val="40"/>
        </w:rPr>
        <w:t>Preparation</w:t>
      </w:r>
    </w:p>
    <w:p w14:paraId="6E837EE5" w14:textId="1042763F" w:rsidR="3EEC074A" w:rsidRDefault="3EEC074A">
      <w:r w:rsidRPr="3EEC074A">
        <w:rPr>
          <w:rFonts w:ascii="Calibri" w:eastAsia="Calibri" w:hAnsi="Calibri" w:cs="Calibri"/>
          <w:color w:val="222222"/>
          <w:sz w:val="25"/>
          <w:szCs w:val="25"/>
        </w:rPr>
        <w:t>Search the Capella library and the Internet to locate resources that address the dynamics of power and conflict (in particular, with relation to law enforcement), the relational theory of power, perceptions of power, and how things such as gender, culture, and ethnicity can affect that perception.</w:t>
      </w:r>
    </w:p>
    <w:p w14:paraId="0382A790" w14:textId="07E2246D" w:rsidR="3EEC074A" w:rsidRDefault="3EEC074A" w:rsidP="3EEC074A">
      <w:pPr>
        <w:pStyle w:val="Heading4"/>
      </w:pPr>
      <w:r w:rsidRPr="3EEC074A">
        <w:rPr>
          <w:rFonts w:ascii="Calibri" w:eastAsia="Calibri" w:hAnsi="Calibri" w:cs="Calibri"/>
          <w:color w:val="222222"/>
          <w:sz w:val="40"/>
          <w:szCs w:val="40"/>
        </w:rPr>
        <w:t>Instructions</w:t>
      </w:r>
    </w:p>
    <w:p w14:paraId="73D7EEA1" w14:textId="6BD62CF9" w:rsidR="3EEC074A" w:rsidRDefault="3EEC074A">
      <w:r w:rsidRPr="3EEC074A">
        <w:rPr>
          <w:rFonts w:ascii="Calibri" w:eastAsia="Calibri" w:hAnsi="Calibri" w:cs="Calibri"/>
          <w:color w:val="222222"/>
          <w:sz w:val="25"/>
          <w:szCs w:val="25"/>
        </w:rPr>
        <w:t>Complete the following:</w:t>
      </w:r>
    </w:p>
    <w:p w14:paraId="7362C74D" w14:textId="335381BF" w:rsidR="3EEC074A" w:rsidRDefault="3EEC074A" w:rsidP="3EEC074A">
      <w:pPr>
        <w:pStyle w:val="ListParagraph"/>
        <w:numPr>
          <w:ilvl w:val="1"/>
          <w:numId w:val="1"/>
        </w:numPr>
        <w:rPr>
          <w:rFonts w:eastAsiaTheme="minorEastAsia"/>
          <w:color w:val="222222"/>
          <w:sz w:val="25"/>
          <w:szCs w:val="25"/>
        </w:rPr>
      </w:pPr>
      <w:r w:rsidRPr="3EEC074A">
        <w:rPr>
          <w:rFonts w:ascii="Calibri" w:eastAsia="Calibri" w:hAnsi="Calibri" w:cs="Calibri"/>
          <w:color w:val="222222"/>
          <w:sz w:val="25"/>
          <w:szCs w:val="25"/>
        </w:rPr>
        <w:t>Describe the factors or conditions that contribute to conflict situations between law enforcement and citizens.</w:t>
      </w:r>
    </w:p>
    <w:p w14:paraId="422C02EF" w14:textId="69259963" w:rsidR="3EEC074A" w:rsidRDefault="3EEC074A" w:rsidP="3EEC074A">
      <w:pPr>
        <w:pStyle w:val="ListParagraph"/>
        <w:numPr>
          <w:ilvl w:val="1"/>
          <w:numId w:val="1"/>
        </w:numPr>
        <w:rPr>
          <w:rFonts w:eastAsiaTheme="minorEastAsia"/>
          <w:color w:val="222222"/>
          <w:sz w:val="25"/>
          <w:szCs w:val="25"/>
        </w:rPr>
      </w:pPr>
      <w:r w:rsidRPr="3EEC074A">
        <w:rPr>
          <w:rFonts w:ascii="Calibri" w:eastAsia="Calibri" w:hAnsi="Calibri" w:cs="Calibri"/>
          <w:color w:val="222222"/>
          <w:sz w:val="25"/>
          <w:szCs w:val="25"/>
        </w:rPr>
        <w:t>Explain how perceptions of power may contribute to conflict situations between law enforcement and members of a community. Be sure you consider the perceptions of both the police and individual citizens.</w:t>
      </w:r>
    </w:p>
    <w:p w14:paraId="4D74F4E8" w14:textId="094E9EA7" w:rsidR="3EEC074A" w:rsidRDefault="3EEC074A" w:rsidP="3EEC074A">
      <w:pPr>
        <w:pStyle w:val="ListParagraph"/>
        <w:numPr>
          <w:ilvl w:val="1"/>
          <w:numId w:val="1"/>
        </w:numPr>
        <w:rPr>
          <w:rFonts w:eastAsiaTheme="minorEastAsia"/>
          <w:color w:val="222222"/>
          <w:sz w:val="25"/>
          <w:szCs w:val="25"/>
        </w:rPr>
      </w:pPr>
      <w:r w:rsidRPr="3EEC074A">
        <w:rPr>
          <w:rFonts w:ascii="Calibri" w:eastAsia="Calibri" w:hAnsi="Calibri" w:cs="Calibri"/>
          <w:color w:val="222222"/>
          <w:sz w:val="25"/>
          <w:szCs w:val="25"/>
        </w:rPr>
        <w:t>Use the relational theory of power to explain how perceptions of power affect the ability to resolve police–community conflict.</w:t>
      </w:r>
    </w:p>
    <w:p w14:paraId="23222018" w14:textId="34BA8BAA" w:rsidR="3EEC074A" w:rsidRDefault="3EEC074A" w:rsidP="3EEC074A">
      <w:pPr>
        <w:pStyle w:val="ListParagraph"/>
        <w:numPr>
          <w:ilvl w:val="1"/>
          <w:numId w:val="1"/>
        </w:numPr>
        <w:rPr>
          <w:rFonts w:eastAsiaTheme="minorEastAsia"/>
          <w:color w:val="222222"/>
          <w:sz w:val="25"/>
          <w:szCs w:val="25"/>
        </w:rPr>
      </w:pPr>
      <w:r w:rsidRPr="3EEC074A">
        <w:rPr>
          <w:rFonts w:ascii="Calibri" w:eastAsia="Calibri" w:hAnsi="Calibri" w:cs="Calibri"/>
          <w:color w:val="222222"/>
          <w:sz w:val="25"/>
          <w:szCs w:val="25"/>
        </w:rPr>
        <w:t>Identify strategies you believe might be effective in reducing or resolving conflicts between police and communities.</w:t>
      </w:r>
    </w:p>
    <w:p w14:paraId="412BDBC5" w14:textId="4767B92B" w:rsidR="3EEC074A" w:rsidRDefault="3EEC074A" w:rsidP="3EEC074A">
      <w:pPr>
        <w:pStyle w:val="ListParagraph"/>
        <w:numPr>
          <w:ilvl w:val="1"/>
          <w:numId w:val="1"/>
        </w:numPr>
        <w:rPr>
          <w:rFonts w:eastAsiaTheme="minorEastAsia"/>
          <w:color w:val="222222"/>
          <w:sz w:val="25"/>
          <w:szCs w:val="25"/>
        </w:rPr>
      </w:pPr>
      <w:r w:rsidRPr="3EEC074A">
        <w:rPr>
          <w:rFonts w:ascii="Calibri" w:eastAsia="Calibri" w:hAnsi="Calibri" w:cs="Calibri"/>
          <w:color w:val="222222"/>
          <w:sz w:val="25"/>
          <w:szCs w:val="25"/>
        </w:rPr>
        <w:t>Choose one strategy and determine the likely outcome.</w:t>
      </w:r>
    </w:p>
    <w:p w14:paraId="1672FA30" w14:textId="15709457" w:rsidR="3EEC074A" w:rsidRDefault="3EEC074A" w:rsidP="3EEC074A">
      <w:pPr>
        <w:numPr>
          <w:ilvl w:val="0"/>
          <w:numId w:val="1"/>
        </w:numPr>
        <w:rPr>
          <w:color w:val="222222"/>
          <w:sz w:val="25"/>
          <w:szCs w:val="25"/>
        </w:rPr>
      </w:pPr>
      <w:r w:rsidRPr="3EEC074A">
        <w:rPr>
          <w:rFonts w:ascii="Calibri" w:eastAsia="Calibri" w:hAnsi="Calibri" w:cs="Calibri"/>
          <w:color w:val="222222"/>
          <w:sz w:val="25"/>
          <w:szCs w:val="25"/>
        </w:rPr>
        <w:t>Although an actual blog would not have any specific formatting, format this assessment following APA guidelines. This format will facilitate faculty evaluation and feedback.</w:t>
      </w:r>
    </w:p>
    <w:p w14:paraId="0D47F3FC" w14:textId="1480FC8E" w:rsidR="3EEC074A" w:rsidRDefault="3EEC074A" w:rsidP="3EEC074A">
      <w:pPr>
        <w:pStyle w:val="Heading4"/>
      </w:pPr>
      <w:r w:rsidRPr="3EEC074A">
        <w:rPr>
          <w:rFonts w:ascii="Calibri" w:eastAsia="Calibri" w:hAnsi="Calibri" w:cs="Calibri"/>
          <w:color w:val="222222"/>
          <w:sz w:val="40"/>
          <w:szCs w:val="40"/>
        </w:rPr>
        <w:t>Additional Requirements</w:t>
      </w:r>
    </w:p>
    <w:p w14:paraId="21D34E63" w14:textId="3BF05374" w:rsidR="3EEC074A" w:rsidRDefault="3EEC074A" w:rsidP="3EEC074A">
      <w:pPr>
        <w:pStyle w:val="ListParagraph"/>
        <w:numPr>
          <w:ilvl w:val="1"/>
          <w:numId w:val="1"/>
        </w:numPr>
        <w:rPr>
          <w:rFonts w:eastAsiaTheme="minorEastAsia"/>
          <w:color w:val="222222"/>
          <w:sz w:val="25"/>
          <w:szCs w:val="25"/>
        </w:rPr>
      </w:pPr>
      <w:r w:rsidRPr="3EEC074A">
        <w:rPr>
          <w:rFonts w:ascii="Calibri" w:eastAsia="Calibri" w:hAnsi="Calibri" w:cs="Calibri"/>
          <w:color w:val="222222"/>
          <w:sz w:val="25"/>
          <w:szCs w:val="25"/>
        </w:rPr>
        <w:t>Submit 3–5 typed, double-spaced pages, not including title and reference pages.</w:t>
      </w:r>
    </w:p>
    <w:p w14:paraId="7D5E201B" w14:textId="189B2270" w:rsidR="3EEC074A" w:rsidRDefault="3EEC074A" w:rsidP="3EEC074A">
      <w:pPr>
        <w:pStyle w:val="ListParagraph"/>
        <w:numPr>
          <w:ilvl w:val="1"/>
          <w:numId w:val="1"/>
        </w:numPr>
        <w:rPr>
          <w:rFonts w:eastAsiaTheme="minorEastAsia"/>
          <w:color w:val="222222"/>
          <w:sz w:val="25"/>
          <w:szCs w:val="25"/>
        </w:rPr>
      </w:pPr>
      <w:r w:rsidRPr="3EEC074A">
        <w:rPr>
          <w:rFonts w:ascii="Calibri" w:eastAsia="Calibri" w:hAnsi="Calibri" w:cs="Calibri"/>
          <w:color w:val="222222"/>
          <w:sz w:val="25"/>
          <w:szCs w:val="25"/>
        </w:rPr>
        <w:t>Use 12-point, Times New Roman font.</w:t>
      </w:r>
    </w:p>
    <w:p w14:paraId="3E3C3B29" w14:textId="603A2F86" w:rsidR="3EEC074A" w:rsidRDefault="3EEC074A" w:rsidP="3EEC074A">
      <w:pPr>
        <w:pStyle w:val="ListParagraph"/>
        <w:numPr>
          <w:ilvl w:val="1"/>
          <w:numId w:val="1"/>
        </w:numPr>
        <w:rPr>
          <w:rFonts w:eastAsiaTheme="minorEastAsia"/>
          <w:color w:val="222222"/>
          <w:sz w:val="25"/>
          <w:szCs w:val="25"/>
        </w:rPr>
      </w:pPr>
      <w:r w:rsidRPr="3EEC074A">
        <w:rPr>
          <w:rFonts w:ascii="Calibri" w:eastAsia="Calibri" w:hAnsi="Calibri" w:cs="Calibri"/>
          <w:color w:val="222222"/>
          <w:sz w:val="25"/>
          <w:szCs w:val="25"/>
        </w:rPr>
        <w:t>Include a title page and reference page.</w:t>
      </w:r>
    </w:p>
    <w:p w14:paraId="55047EA7" w14:textId="6B192927" w:rsidR="3EEC074A" w:rsidRDefault="3EEC074A" w:rsidP="3EEC074A">
      <w:pPr>
        <w:pStyle w:val="ListParagraph"/>
        <w:numPr>
          <w:ilvl w:val="1"/>
          <w:numId w:val="1"/>
        </w:numPr>
        <w:rPr>
          <w:rFonts w:eastAsiaTheme="minorEastAsia"/>
          <w:color w:val="222222"/>
          <w:sz w:val="25"/>
          <w:szCs w:val="25"/>
        </w:rPr>
      </w:pPr>
      <w:r w:rsidRPr="3EEC074A">
        <w:rPr>
          <w:rFonts w:ascii="Calibri" w:eastAsia="Calibri" w:hAnsi="Calibri" w:cs="Calibri"/>
          <w:color w:val="222222"/>
          <w:sz w:val="25"/>
          <w:szCs w:val="25"/>
        </w:rPr>
        <w:t>Cite at least three current scholarly or professional resources.</w:t>
      </w:r>
    </w:p>
    <w:p w14:paraId="34E846ED" w14:textId="0A88FB04" w:rsidR="3EEC074A" w:rsidRDefault="3EEC074A" w:rsidP="3EEC074A"/>
    <w:sectPr w:rsidR="3EEC07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834D43"/>
    <w:multiLevelType w:val="hybridMultilevel"/>
    <w:tmpl w:val="7736E1D6"/>
    <w:lvl w:ilvl="0" w:tplc="490CE944">
      <w:start w:val="1"/>
      <w:numFmt w:val="bullet"/>
      <w:lvlText w:val=""/>
      <w:lvlJc w:val="left"/>
      <w:pPr>
        <w:ind w:left="720" w:hanging="360"/>
      </w:pPr>
      <w:rPr>
        <w:rFonts w:ascii="Symbol" w:hAnsi="Symbol" w:hint="default"/>
      </w:rPr>
    </w:lvl>
    <w:lvl w:ilvl="1" w:tplc="69B008F2">
      <w:start w:val="1"/>
      <w:numFmt w:val="bullet"/>
      <w:lvlText w:val="o"/>
      <w:lvlJc w:val="left"/>
      <w:pPr>
        <w:ind w:left="1440" w:hanging="360"/>
      </w:pPr>
      <w:rPr>
        <w:rFonts w:ascii="Courier New" w:hAnsi="Courier New" w:hint="default"/>
      </w:rPr>
    </w:lvl>
    <w:lvl w:ilvl="2" w:tplc="8480B58E">
      <w:start w:val="1"/>
      <w:numFmt w:val="bullet"/>
      <w:lvlText w:val=""/>
      <w:lvlJc w:val="left"/>
      <w:pPr>
        <w:ind w:left="2160" w:hanging="360"/>
      </w:pPr>
      <w:rPr>
        <w:rFonts w:ascii="Wingdings" w:hAnsi="Wingdings" w:hint="default"/>
      </w:rPr>
    </w:lvl>
    <w:lvl w:ilvl="3" w:tplc="B9B04DBA">
      <w:start w:val="1"/>
      <w:numFmt w:val="bullet"/>
      <w:lvlText w:val=""/>
      <w:lvlJc w:val="left"/>
      <w:pPr>
        <w:ind w:left="2880" w:hanging="360"/>
      </w:pPr>
      <w:rPr>
        <w:rFonts w:ascii="Symbol" w:hAnsi="Symbol" w:hint="default"/>
      </w:rPr>
    </w:lvl>
    <w:lvl w:ilvl="4" w:tplc="59AC9C74">
      <w:start w:val="1"/>
      <w:numFmt w:val="bullet"/>
      <w:lvlText w:val="o"/>
      <w:lvlJc w:val="left"/>
      <w:pPr>
        <w:ind w:left="3600" w:hanging="360"/>
      </w:pPr>
      <w:rPr>
        <w:rFonts w:ascii="Courier New" w:hAnsi="Courier New" w:hint="default"/>
      </w:rPr>
    </w:lvl>
    <w:lvl w:ilvl="5" w:tplc="B734CD94">
      <w:start w:val="1"/>
      <w:numFmt w:val="bullet"/>
      <w:lvlText w:val=""/>
      <w:lvlJc w:val="left"/>
      <w:pPr>
        <w:ind w:left="4320" w:hanging="360"/>
      </w:pPr>
      <w:rPr>
        <w:rFonts w:ascii="Wingdings" w:hAnsi="Wingdings" w:hint="default"/>
      </w:rPr>
    </w:lvl>
    <w:lvl w:ilvl="6" w:tplc="5A04DFCA">
      <w:start w:val="1"/>
      <w:numFmt w:val="bullet"/>
      <w:lvlText w:val=""/>
      <w:lvlJc w:val="left"/>
      <w:pPr>
        <w:ind w:left="5040" w:hanging="360"/>
      </w:pPr>
      <w:rPr>
        <w:rFonts w:ascii="Symbol" w:hAnsi="Symbol" w:hint="default"/>
      </w:rPr>
    </w:lvl>
    <w:lvl w:ilvl="7" w:tplc="E9CE0620">
      <w:start w:val="1"/>
      <w:numFmt w:val="bullet"/>
      <w:lvlText w:val="o"/>
      <w:lvlJc w:val="left"/>
      <w:pPr>
        <w:ind w:left="5760" w:hanging="360"/>
      </w:pPr>
      <w:rPr>
        <w:rFonts w:ascii="Courier New" w:hAnsi="Courier New" w:hint="default"/>
      </w:rPr>
    </w:lvl>
    <w:lvl w:ilvl="8" w:tplc="44EC7FD6">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5C71F4"/>
    <w:rsid w:val="005616EB"/>
    <w:rsid w:val="305C71F4"/>
    <w:rsid w:val="3EEC0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C71F4"/>
  <w15:chartTrackingRefBased/>
  <w15:docId w15:val="{28F650B0-4AD9-40CB-9EA5-BC33DC505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557</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2020-01-14T02:35:00Z</dcterms:created>
  <dcterms:modified xsi:type="dcterms:W3CDTF">2020-01-14T02:35:00Z</dcterms:modified>
</cp:coreProperties>
</file>